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5C" w:rsidRPr="00805314" w:rsidRDefault="0068415C" w:rsidP="0068415C">
      <w:pPr>
        <w:spacing w:line="360" w:lineRule="auto"/>
        <w:rPr>
          <w:rFonts w:eastAsia="Times New Roman" w:cs="Times New Roman"/>
          <w:b/>
          <w:color w:val="1F497D" w:themeColor="text2"/>
          <w:sz w:val="28"/>
          <w:szCs w:val="28"/>
        </w:rPr>
      </w:pPr>
      <w:r w:rsidRPr="00DC7320">
        <w:rPr>
          <w:rFonts w:cs="Times New Roman"/>
          <w:b/>
          <w:highlight w:val="lightGray"/>
        </w:rPr>
        <w:t>Original article:</w:t>
      </w:r>
      <w:r w:rsidRPr="00DC7320">
        <w:rPr>
          <w:rFonts w:cs="Times New Roman"/>
          <w:b/>
        </w:rPr>
        <w:t xml:space="preserve"> </w:t>
      </w:r>
      <w:r w:rsidRPr="00DC7320">
        <w:rPr>
          <w:rFonts w:cs="Times New Roman"/>
          <w:b/>
        </w:rPr>
        <w:br/>
      </w:r>
      <w:r w:rsidRPr="00805314">
        <w:rPr>
          <w:rFonts w:eastAsia="Times New Roman" w:cs="Times New Roman"/>
          <w:b/>
          <w:color w:val="1F497D" w:themeColor="text2"/>
          <w:sz w:val="28"/>
          <w:szCs w:val="28"/>
          <w:shd w:val="clear" w:color="auto" w:fill="FFFFFF"/>
        </w:rPr>
        <w:t>Study of endoscopic findings in CKD patients with dyspepsia</w:t>
      </w:r>
    </w:p>
    <w:p w:rsidR="0068415C" w:rsidRDefault="0068415C" w:rsidP="0068415C">
      <w:pPr>
        <w:shd w:val="clear" w:color="auto" w:fill="FFFFFF"/>
        <w:spacing w:line="360" w:lineRule="auto"/>
        <w:jc w:val="both"/>
        <w:rPr>
          <w:rFonts w:eastAsia="Times New Roman" w:cs="Times New Roman"/>
          <w:b/>
          <w:color w:val="000000"/>
          <w:sz w:val="22"/>
          <w:szCs w:val="22"/>
        </w:rPr>
      </w:pPr>
      <w:r w:rsidRPr="00DC7320">
        <w:rPr>
          <w:rFonts w:eastAsia="Times New Roman" w:cs="Times New Roman"/>
          <w:b/>
          <w:color w:val="000000"/>
          <w:sz w:val="22"/>
          <w:szCs w:val="22"/>
          <w:vertAlign w:val="superscript"/>
        </w:rPr>
        <w:t>1</w:t>
      </w:r>
      <w:r w:rsidRPr="00805314">
        <w:rPr>
          <w:rFonts w:eastAsia="Times New Roman" w:cs="Times New Roman"/>
          <w:b/>
          <w:color w:val="000000"/>
          <w:sz w:val="22"/>
          <w:szCs w:val="22"/>
        </w:rPr>
        <w:t>Dr. Abhishek Bansal</w:t>
      </w:r>
      <w:r w:rsidRPr="00DC7320">
        <w:rPr>
          <w:rFonts w:eastAsia="Times New Roman" w:cs="Times New Roman"/>
          <w:b/>
          <w:color w:val="000000"/>
          <w:sz w:val="22"/>
          <w:szCs w:val="22"/>
        </w:rPr>
        <w:t xml:space="preserve"> , </w:t>
      </w:r>
      <w:r w:rsidRPr="00DC7320">
        <w:rPr>
          <w:rFonts w:eastAsia="Times New Roman" w:cs="Times New Roman"/>
          <w:b/>
          <w:color w:val="000000"/>
          <w:sz w:val="22"/>
          <w:szCs w:val="22"/>
          <w:vertAlign w:val="superscript"/>
        </w:rPr>
        <w:t>2</w:t>
      </w:r>
      <w:r w:rsidRPr="00805314">
        <w:rPr>
          <w:rFonts w:eastAsia="Times New Roman" w:cs="Times New Roman"/>
          <w:b/>
          <w:color w:val="000000"/>
          <w:sz w:val="22"/>
          <w:szCs w:val="22"/>
        </w:rPr>
        <w:t>Dr. A.L. Kakrani  </w:t>
      </w:r>
      <w:r w:rsidRPr="00DC7320">
        <w:rPr>
          <w:rFonts w:eastAsia="Times New Roman" w:cs="Times New Roman"/>
          <w:b/>
          <w:color w:val="000000"/>
          <w:sz w:val="22"/>
          <w:szCs w:val="22"/>
        </w:rPr>
        <w:t xml:space="preserve">, </w:t>
      </w:r>
      <w:r w:rsidRPr="00DC7320">
        <w:rPr>
          <w:rFonts w:eastAsia="Times New Roman" w:cs="Times New Roman"/>
          <w:b/>
          <w:color w:val="000000"/>
          <w:sz w:val="22"/>
          <w:szCs w:val="22"/>
          <w:vertAlign w:val="superscript"/>
        </w:rPr>
        <w:t>3</w:t>
      </w:r>
      <w:r w:rsidRPr="00805314">
        <w:rPr>
          <w:rFonts w:eastAsia="Times New Roman" w:cs="Times New Roman"/>
          <w:b/>
          <w:color w:val="000000"/>
          <w:sz w:val="22"/>
          <w:szCs w:val="22"/>
        </w:rPr>
        <w:t>Dr. V.S. Gokhale</w:t>
      </w:r>
      <w:r w:rsidRPr="00DC7320">
        <w:rPr>
          <w:rFonts w:eastAsia="Times New Roman" w:cs="Times New Roman"/>
          <w:b/>
          <w:color w:val="000000"/>
          <w:sz w:val="22"/>
          <w:szCs w:val="22"/>
        </w:rPr>
        <w:t xml:space="preserve"> , </w:t>
      </w:r>
      <w:r w:rsidRPr="00DC7320">
        <w:rPr>
          <w:rFonts w:eastAsia="Times New Roman" w:cs="Times New Roman"/>
          <w:b/>
          <w:color w:val="000000"/>
          <w:sz w:val="22"/>
          <w:szCs w:val="22"/>
          <w:vertAlign w:val="superscript"/>
        </w:rPr>
        <w:t>4</w:t>
      </w:r>
      <w:r w:rsidRPr="00805314">
        <w:rPr>
          <w:rFonts w:eastAsia="Times New Roman" w:cs="Times New Roman"/>
          <w:b/>
          <w:color w:val="000000"/>
          <w:sz w:val="22"/>
          <w:szCs w:val="22"/>
        </w:rPr>
        <w:t>Dr. Manasi Harale,</w:t>
      </w:r>
    </w:p>
    <w:p w:rsidR="0068415C" w:rsidRPr="00DC7320" w:rsidRDefault="0068415C" w:rsidP="0068415C">
      <w:pPr>
        <w:shd w:val="clear" w:color="auto" w:fill="FFFFFF"/>
        <w:spacing w:line="360" w:lineRule="auto"/>
        <w:jc w:val="both"/>
        <w:rPr>
          <w:rFonts w:eastAsia="Times New Roman" w:cs="Times New Roman"/>
          <w:b/>
          <w:color w:val="000000"/>
          <w:sz w:val="22"/>
          <w:szCs w:val="22"/>
        </w:rPr>
      </w:pPr>
      <w:r w:rsidRPr="00DC7320">
        <w:rPr>
          <w:rFonts w:eastAsia="Times New Roman" w:cs="Times New Roman"/>
          <w:b/>
          <w:color w:val="000000"/>
          <w:sz w:val="22"/>
          <w:szCs w:val="22"/>
        </w:rPr>
        <w:t xml:space="preserve"> </w:t>
      </w:r>
      <w:r w:rsidRPr="00DC7320">
        <w:rPr>
          <w:rFonts w:eastAsia="Times New Roman" w:cs="Times New Roman"/>
          <w:b/>
          <w:color w:val="000000"/>
          <w:sz w:val="22"/>
          <w:szCs w:val="22"/>
          <w:vertAlign w:val="superscript"/>
        </w:rPr>
        <w:t>5</w:t>
      </w:r>
      <w:r w:rsidRPr="00805314">
        <w:rPr>
          <w:rFonts w:eastAsia="Times New Roman" w:cs="Times New Roman"/>
          <w:b/>
          <w:color w:val="000000"/>
          <w:sz w:val="22"/>
          <w:szCs w:val="22"/>
        </w:rPr>
        <w:t>Dr. Charan Bale</w:t>
      </w:r>
    </w:p>
    <w:p w:rsidR="0068415C" w:rsidRPr="00DC7320" w:rsidRDefault="0068415C" w:rsidP="0068415C">
      <w:pPr>
        <w:shd w:val="clear" w:color="auto" w:fill="FFFFFF"/>
        <w:spacing w:line="360" w:lineRule="auto"/>
        <w:jc w:val="both"/>
        <w:rPr>
          <w:rFonts w:eastAsia="Times New Roman" w:cs="Times New Roman"/>
          <w:b/>
          <w:color w:val="000000"/>
          <w:sz w:val="20"/>
          <w:szCs w:val="20"/>
        </w:rPr>
      </w:pPr>
    </w:p>
    <w:p w:rsidR="0068415C" w:rsidRPr="00805314" w:rsidRDefault="0068415C" w:rsidP="0068415C">
      <w:pP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vertAlign w:val="superscript"/>
        </w:rPr>
        <w:t>1</w:t>
      </w:r>
      <w:r w:rsidRPr="00805314">
        <w:rPr>
          <w:rFonts w:eastAsia="Times New Roman" w:cs="Times New Roman"/>
          <w:color w:val="000000"/>
          <w:sz w:val="18"/>
          <w:szCs w:val="18"/>
        </w:rPr>
        <w:t>Post Graduate Resident Year-III,Department of Medicine,Dr D.Y. Patil Medical College,Pune</w:t>
      </w:r>
    </w:p>
    <w:p w:rsidR="0068415C" w:rsidRPr="00805314" w:rsidRDefault="0068415C" w:rsidP="0068415C">
      <w:pP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vertAlign w:val="superscript"/>
        </w:rPr>
        <w:t>2</w:t>
      </w:r>
      <w:r w:rsidRPr="00805314">
        <w:rPr>
          <w:rFonts w:eastAsia="Times New Roman" w:cs="Times New Roman"/>
          <w:color w:val="000000"/>
          <w:sz w:val="18"/>
          <w:szCs w:val="18"/>
        </w:rPr>
        <w:t>Professor and HOD,Department of Medicine,Dr D.Y. Patil Medical College,Pune</w:t>
      </w:r>
    </w:p>
    <w:p w:rsidR="0068415C" w:rsidRPr="00805314" w:rsidRDefault="0068415C" w:rsidP="0068415C">
      <w:pP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vertAlign w:val="superscript"/>
        </w:rPr>
        <w:t>3</w:t>
      </w:r>
      <w:r w:rsidRPr="00805314">
        <w:rPr>
          <w:rFonts w:eastAsia="Times New Roman" w:cs="Times New Roman"/>
          <w:color w:val="000000"/>
          <w:sz w:val="18"/>
          <w:szCs w:val="18"/>
        </w:rPr>
        <w:t>Professor,Department of Medicine ,Dr D.Y. Patil Medical College,Pune</w:t>
      </w:r>
    </w:p>
    <w:p w:rsidR="0068415C" w:rsidRPr="00805314" w:rsidRDefault="0068415C" w:rsidP="0068415C">
      <w:pP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vertAlign w:val="superscript"/>
        </w:rPr>
        <w:t>4</w:t>
      </w:r>
      <w:r w:rsidRPr="00805314">
        <w:rPr>
          <w:rFonts w:eastAsia="Times New Roman" w:cs="Times New Roman"/>
          <w:color w:val="000000"/>
          <w:sz w:val="18"/>
          <w:szCs w:val="18"/>
        </w:rPr>
        <w:t>Assistant Professor,Department of Medicine ,Dr D.Y. Patil Medical College,Pune</w:t>
      </w:r>
    </w:p>
    <w:p w:rsidR="0068415C" w:rsidRPr="00DC7320" w:rsidRDefault="0068415C" w:rsidP="0068415C">
      <w:pP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vertAlign w:val="superscript"/>
        </w:rPr>
        <w:t>5</w:t>
      </w:r>
      <w:r w:rsidRPr="00805314">
        <w:rPr>
          <w:rFonts w:eastAsia="Times New Roman" w:cs="Times New Roman"/>
          <w:color w:val="000000"/>
          <w:sz w:val="18"/>
          <w:szCs w:val="18"/>
        </w:rPr>
        <w:t>Assistant Professor,Department of Nephrology, Dr D.Y. Patil Medical College,Pune</w:t>
      </w:r>
    </w:p>
    <w:p w:rsidR="0068415C" w:rsidRPr="00DC7320" w:rsidRDefault="0068415C" w:rsidP="0068415C">
      <w:pPr>
        <w:pBdr>
          <w:bottom w:val="single" w:sz="6" w:space="1" w:color="auto"/>
        </w:pBdr>
        <w:shd w:val="clear" w:color="auto" w:fill="FFFFFF"/>
        <w:spacing w:line="360" w:lineRule="auto"/>
        <w:jc w:val="both"/>
        <w:rPr>
          <w:rFonts w:eastAsia="Times New Roman" w:cs="Times New Roman"/>
          <w:color w:val="000000"/>
          <w:sz w:val="18"/>
          <w:szCs w:val="18"/>
        </w:rPr>
      </w:pPr>
      <w:r w:rsidRPr="00DC7320">
        <w:rPr>
          <w:rFonts w:eastAsia="Times New Roman" w:cs="Times New Roman"/>
          <w:color w:val="000000"/>
          <w:sz w:val="18"/>
          <w:szCs w:val="18"/>
        </w:rPr>
        <w:t xml:space="preserve">Corresponding author : </w:t>
      </w:r>
      <w:r w:rsidRPr="00805314">
        <w:rPr>
          <w:rFonts w:eastAsia="Times New Roman" w:cs="Times New Roman"/>
          <w:color w:val="000000"/>
          <w:sz w:val="18"/>
          <w:szCs w:val="18"/>
        </w:rPr>
        <w:t>Dr. Abhishek Bansal</w:t>
      </w:r>
    </w:p>
    <w:p w:rsidR="0068415C" w:rsidRDefault="0068415C" w:rsidP="0068415C">
      <w:pPr>
        <w:pStyle w:val="Style"/>
        <w:spacing w:line="360" w:lineRule="auto"/>
        <w:ind w:right="-61"/>
        <w:jc w:val="both"/>
        <w:rPr>
          <w:rFonts w:ascii="Times New Roman" w:eastAsia="Times New Roman" w:hAnsi="Times New Roman" w:cs="Times New Roman"/>
          <w:color w:val="000000"/>
          <w:sz w:val="20"/>
          <w:szCs w:val="20"/>
        </w:rPr>
      </w:pPr>
    </w:p>
    <w:p w:rsidR="0068415C" w:rsidRDefault="0068415C" w:rsidP="0068415C">
      <w:pPr>
        <w:pStyle w:val="Style"/>
        <w:spacing w:line="360" w:lineRule="auto"/>
        <w:ind w:right="-61"/>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Abstract:</w:t>
      </w:r>
    </w:p>
    <w:p w:rsidR="0068415C" w:rsidRPr="0002656C" w:rsidRDefault="0068415C" w:rsidP="0068415C">
      <w:pPr>
        <w:pStyle w:val="Style"/>
        <w:spacing w:line="360" w:lineRule="auto"/>
        <w:ind w:right="-61"/>
        <w:jc w:val="both"/>
        <w:rPr>
          <w:rFonts w:ascii="Times New Roman" w:hAnsi="Times New Roman" w:cs="Times New Roman"/>
          <w:b/>
          <w:color w:val="000000" w:themeColor="text1"/>
          <w:sz w:val="18"/>
          <w:szCs w:val="18"/>
        </w:rPr>
      </w:pPr>
      <w:r w:rsidRPr="0002656C">
        <w:rPr>
          <w:rFonts w:ascii="Times New Roman" w:hAnsi="Times New Roman" w:cs="Times New Roman"/>
          <w:b/>
          <w:color w:val="000000" w:themeColor="text1"/>
          <w:sz w:val="18"/>
          <w:szCs w:val="18"/>
        </w:rPr>
        <w:t xml:space="preserve">Introduction: </w:t>
      </w:r>
      <w:r w:rsidRPr="0002656C">
        <w:rPr>
          <w:rFonts w:ascii="Times New Roman" w:hAnsi="Times New Roman" w:cs="Times New Roman"/>
          <w:color w:val="000000" w:themeColor="text1"/>
          <w:sz w:val="18"/>
          <w:szCs w:val="18"/>
        </w:rPr>
        <w:t>Chronic Kidney Disease is associated with several abnormalities in the gastrointestinal tract involving all its segments. Many of these abnormalities produce serious life threatening situation, few produce serious important clinical symptoms, while others produce only subclinical functional alterations. These findings suggest that neither hyperacidity, hypergastrinemia nor H. pylori play a major role in the pathogenesis of uremic gastro duodenal lesions. Impaired mucosal cytoprotection has been postulated but not proven. Endoscopic and histological correlation exists in gastritis but not with duodenitis.</w:t>
      </w:r>
    </w:p>
    <w:p w:rsidR="0068415C" w:rsidRPr="0002656C" w:rsidRDefault="0068415C" w:rsidP="0068415C">
      <w:pPr>
        <w:pStyle w:val="Style"/>
        <w:spacing w:line="360" w:lineRule="auto"/>
        <w:ind w:right="-61"/>
        <w:jc w:val="both"/>
        <w:rPr>
          <w:rFonts w:ascii="Times New Roman" w:hAnsi="Times New Roman" w:cs="Times New Roman"/>
          <w:color w:val="000000" w:themeColor="text1"/>
          <w:sz w:val="18"/>
          <w:szCs w:val="18"/>
        </w:rPr>
      </w:pPr>
      <w:r w:rsidRPr="0002656C">
        <w:rPr>
          <w:rFonts w:ascii="Times New Roman" w:hAnsi="Times New Roman" w:cs="Times New Roman"/>
          <w:b/>
          <w:sz w:val="18"/>
          <w:szCs w:val="18"/>
        </w:rPr>
        <w:t xml:space="preserve">Materials and methods: </w:t>
      </w:r>
      <w:r w:rsidRPr="0002656C">
        <w:rPr>
          <w:rFonts w:ascii="Times New Roman" w:hAnsi="Times New Roman" w:cs="Times New Roman"/>
          <w:sz w:val="18"/>
          <w:szCs w:val="18"/>
        </w:rPr>
        <w:t>Institutional Ethics Committee Clearance  was obtained before start of work. All the patients were taken informed consent Marathi/English and  evaluated according to Clinical Performa</w:t>
      </w:r>
      <w:r w:rsidRPr="0002656C">
        <w:rPr>
          <w:rFonts w:ascii="Times New Roman" w:hAnsi="Times New Roman" w:cs="Times New Roman"/>
          <w:b/>
          <w:sz w:val="18"/>
          <w:szCs w:val="18"/>
        </w:rPr>
        <w:t xml:space="preserve"> . </w:t>
      </w:r>
      <w:r w:rsidRPr="0002656C">
        <w:rPr>
          <w:rFonts w:ascii="Times New Roman" w:hAnsi="Times New Roman" w:cs="Times New Roman"/>
          <w:sz w:val="18"/>
          <w:szCs w:val="18"/>
        </w:rPr>
        <w:t>Patients in Stage 3 to Stage 5 Chronic Kidney Disease(CKD) with dyspeptic symptoms and who are clinically stable.</w:t>
      </w:r>
      <w:r w:rsidRPr="0002656C">
        <w:rPr>
          <w:rFonts w:ascii="Times New Roman" w:hAnsi="Times New Roman" w:cs="Times New Roman"/>
          <w:color w:val="000000" w:themeColor="text1"/>
          <w:sz w:val="18"/>
          <w:szCs w:val="18"/>
        </w:rPr>
        <w:t xml:space="preserve"> An intravenous catheter set was inserted for the administration of Buscopan and Diazepam if required. A lignocaine mouthwash was then given. Endoscopy was performed in all patients using Fujinon Epx-2200 light source and Fujinon EG-201 FP video gastroscope .</w:t>
      </w:r>
    </w:p>
    <w:p w:rsidR="0068415C" w:rsidRPr="0002656C" w:rsidRDefault="0068415C" w:rsidP="0068415C">
      <w:pPr>
        <w:spacing w:line="360" w:lineRule="auto"/>
        <w:jc w:val="both"/>
        <w:rPr>
          <w:rFonts w:ascii="Times New Roman" w:hAnsi="Times New Roman" w:cs="Times New Roman"/>
          <w:b/>
          <w:bCs/>
          <w:sz w:val="18"/>
          <w:szCs w:val="18"/>
        </w:rPr>
      </w:pPr>
      <w:r w:rsidRPr="0002656C">
        <w:rPr>
          <w:rFonts w:ascii="Times New Roman" w:hAnsi="Times New Roman" w:cs="Times New Roman"/>
          <w:b/>
          <w:sz w:val="18"/>
          <w:szCs w:val="18"/>
        </w:rPr>
        <w:t xml:space="preserve">Results : </w:t>
      </w:r>
      <w:r w:rsidRPr="0002656C">
        <w:rPr>
          <w:rFonts w:ascii="Times New Roman" w:hAnsi="Times New Roman" w:cs="Times New Roman"/>
          <w:bCs/>
          <w:sz w:val="18"/>
          <w:szCs w:val="18"/>
        </w:rPr>
        <w:t>As shown in table , in endoscopy 16 (40%) patients found to have Oesophagitis, Pan Gastritis was found in 21 (52.5%) cases, Antral gastritis was found in 12 (30%) cases and 14 (35%) cases had Duodenitis. Other findings are shown in table 10. Endoscopic Gastroscopy was normal in 7 (17.5%) cases while whole OGDscopy was normal 5 (12.5%) cases.</w:t>
      </w:r>
    </w:p>
    <w:p w:rsidR="0068415C" w:rsidRPr="0002656C" w:rsidRDefault="0068415C" w:rsidP="0068415C">
      <w:pPr>
        <w:pBdr>
          <w:bottom w:val="single" w:sz="6" w:space="1" w:color="auto"/>
        </w:pBdr>
        <w:spacing w:line="360" w:lineRule="auto"/>
        <w:jc w:val="both"/>
        <w:rPr>
          <w:rFonts w:ascii="Times New Roman" w:hAnsi="Times New Roman" w:cs="Times New Roman"/>
          <w:bCs/>
          <w:sz w:val="18"/>
          <w:szCs w:val="18"/>
        </w:rPr>
      </w:pPr>
      <w:r w:rsidRPr="0002656C">
        <w:rPr>
          <w:rFonts w:ascii="Times New Roman" w:hAnsi="Times New Roman" w:cs="Times New Roman"/>
          <w:b/>
          <w:sz w:val="18"/>
          <w:szCs w:val="18"/>
        </w:rPr>
        <w:t xml:space="preserve">Conclusions: </w:t>
      </w:r>
      <w:r w:rsidRPr="0002656C">
        <w:rPr>
          <w:rFonts w:ascii="Times New Roman" w:hAnsi="Times New Roman" w:cs="Times New Roman"/>
          <w:bCs/>
          <w:sz w:val="18"/>
          <w:szCs w:val="18"/>
        </w:rPr>
        <w:t xml:space="preserve">On endoscopy major finding was oesophagitis, pan Gastritis, antral gastritis and duodenitis. </w:t>
      </w:r>
    </w:p>
    <w:p w:rsidR="0068415C" w:rsidRPr="0002656C" w:rsidRDefault="0068415C" w:rsidP="0068415C">
      <w:pPr>
        <w:pBdr>
          <w:bottom w:val="single" w:sz="6" w:space="1" w:color="auto"/>
        </w:pBdr>
        <w:spacing w:line="360" w:lineRule="auto"/>
        <w:jc w:val="both"/>
        <w:rPr>
          <w:rFonts w:ascii="Times New Roman" w:hAnsi="Times New Roman" w:cs="Times New Roman"/>
          <w:bCs/>
          <w:sz w:val="18"/>
          <w:szCs w:val="18"/>
        </w:rPr>
      </w:pPr>
      <w:r w:rsidRPr="0002656C">
        <w:rPr>
          <w:rFonts w:ascii="Times New Roman" w:hAnsi="Times New Roman" w:cs="Times New Roman"/>
          <w:b/>
          <w:bCs/>
          <w:sz w:val="18"/>
          <w:szCs w:val="18"/>
        </w:rPr>
        <w:t>Keywords:</w:t>
      </w:r>
      <w:r w:rsidRPr="0002656C">
        <w:rPr>
          <w:rFonts w:ascii="Times New Roman" w:hAnsi="Times New Roman" w:cs="Times New Roman"/>
          <w:bCs/>
          <w:sz w:val="18"/>
          <w:szCs w:val="18"/>
        </w:rPr>
        <w:t xml:space="preserve"> endoscopy, CKD </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8F" w:rsidRDefault="0010748F" w:rsidP="0068415C">
      <w:r>
        <w:separator/>
      </w:r>
    </w:p>
  </w:endnote>
  <w:endnote w:type="continuationSeparator" w:id="1">
    <w:p w:rsidR="0010748F" w:rsidRDefault="0010748F" w:rsidP="0068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8F" w:rsidRDefault="0010748F" w:rsidP="0068415C">
      <w:r>
        <w:separator/>
      </w:r>
    </w:p>
  </w:footnote>
  <w:footnote w:type="continuationSeparator" w:id="1">
    <w:p w:rsidR="0010748F" w:rsidRDefault="0010748F" w:rsidP="0068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5C" w:rsidRPr="00442893" w:rsidRDefault="0068415C" w:rsidP="0068415C">
    <w:pPr>
      <w:pStyle w:val="Header"/>
      <w:rPr>
        <w:rFonts w:ascii="Cambria" w:hAnsi="Cambria"/>
      </w:rPr>
    </w:pPr>
    <w:r w:rsidRPr="00DD58EB">
      <w:rPr>
        <w:rFonts w:ascii="Cambria" w:eastAsia="Times New Roman" w:hAnsi="Cambria" w:cs="Times New Roman"/>
        <w:sz w:val="20"/>
      </w:rPr>
      <w:t>Indian Journal of Basic and Applied Medical Research; December 20</w:t>
    </w:r>
    <w:r>
      <w:rPr>
        <w:rFonts w:ascii="Cambria" w:hAnsi="Cambria"/>
        <w:sz w:val="20"/>
      </w:rPr>
      <w:t>15: Vol.-5, Issue- 1, P. 591-596</w:t>
    </w:r>
  </w:p>
  <w:p w:rsidR="0068415C" w:rsidRDefault="0068415C" w:rsidP="0068415C">
    <w:pPr>
      <w:pStyle w:val="Header"/>
    </w:pPr>
  </w:p>
  <w:p w:rsidR="0068415C" w:rsidRDefault="006841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8415C"/>
    <w:rsid w:val="000061B3"/>
    <w:rsid w:val="0006104F"/>
    <w:rsid w:val="0010748F"/>
    <w:rsid w:val="001170B6"/>
    <w:rsid w:val="00274F00"/>
    <w:rsid w:val="004B274B"/>
    <w:rsid w:val="0068415C"/>
    <w:rsid w:val="007A5446"/>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har">
    <w:name w:val="Style Char"/>
    <w:basedOn w:val="DefaultParagraphFont"/>
    <w:link w:val="Style"/>
    <w:locked/>
    <w:rsid w:val="0068415C"/>
    <w:rPr>
      <w:rFonts w:ascii="Arial" w:hAnsi="Arial" w:cs="Arial"/>
    </w:rPr>
  </w:style>
  <w:style w:type="paragraph" w:customStyle="1" w:styleId="Style">
    <w:name w:val="Style"/>
    <w:link w:val="StyleChar"/>
    <w:rsid w:val="0068415C"/>
    <w:pPr>
      <w:widowControl w:val="0"/>
      <w:autoSpaceDE w:val="0"/>
      <w:autoSpaceDN w:val="0"/>
      <w:adjustRightInd w:val="0"/>
      <w:spacing w:after="0" w:line="240" w:lineRule="auto"/>
    </w:pPr>
    <w:rPr>
      <w:rFonts w:ascii="Arial" w:hAnsi="Arial" w:cs="Arial"/>
    </w:rPr>
  </w:style>
  <w:style w:type="paragraph" w:styleId="Header">
    <w:name w:val="header"/>
    <w:basedOn w:val="Normal"/>
    <w:link w:val="HeaderChar"/>
    <w:uiPriority w:val="99"/>
    <w:unhideWhenUsed/>
    <w:rsid w:val="0068415C"/>
    <w:pPr>
      <w:tabs>
        <w:tab w:val="center" w:pos="4680"/>
        <w:tab w:val="right" w:pos="9360"/>
      </w:tabs>
    </w:pPr>
  </w:style>
  <w:style w:type="character" w:customStyle="1" w:styleId="HeaderChar">
    <w:name w:val="Header Char"/>
    <w:basedOn w:val="DefaultParagraphFont"/>
    <w:link w:val="Header"/>
    <w:uiPriority w:val="99"/>
    <w:rsid w:val="0068415C"/>
    <w:rPr>
      <w:rFonts w:eastAsiaTheme="minorEastAsia"/>
      <w:sz w:val="24"/>
      <w:szCs w:val="24"/>
    </w:rPr>
  </w:style>
  <w:style w:type="paragraph" w:styleId="Footer">
    <w:name w:val="footer"/>
    <w:basedOn w:val="Normal"/>
    <w:link w:val="FooterChar"/>
    <w:uiPriority w:val="99"/>
    <w:semiHidden/>
    <w:unhideWhenUsed/>
    <w:rsid w:val="0068415C"/>
    <w:pPr>
      <w:tabs>
        <w:tab w:val="center" w:pos="4680"/>
        <w:tab w:val="right" w:pos="9360"/>
      </w:tabs>
    </w:pPr>
  </w:style>
  <w:style w:type="character" w:customStyle="1" w:styleId="FooterChar">
    <w:name w:val="Footer Char"/>
    <w:basedOn w:val="DefaultParagraphFont"/>
    <w:link w:val="Footer"/>
    <w:uiPriority w:val="99"/>
    <w:semiHidden/>
    <w:rsid w:val="0068415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2016-01-23T10:23:00Z</dcterms:created>
  <dcterms:modified xsi:type="dcterms:W3CDTF">2016-01-23T10:24:00Z</dcterms:modified>
</cp:coreProperties>
</file>